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CB1" w:rsidRDefault="00FC093D" w:rsidP="00174CB1">
      <w:pPr>
        <w:pStyle w:val="Paragraphedeliste"/>
        <w:tabs>
          <w:tab w:val="left" w:pos="0"/>
          <w:tab w:val="left" w:leader="dot" w:pos="9639"/>
        </w:tabs>
        <w:spacing w:after="0"/>
        <w:ind w:left="0" w:right="-23"/>
        <w:rPr>
          <w:rFonts w:asciiTheme="minorHAnsi" w:hAnsiTheme="minorHAnsi"/>
        </w:rPr>
      </w:pPr>
      <w:r>
        <w:rPr>
          <w:rFonts w:asciiTheme="minorHAnsi" w:hAnsiTheme="minorHAnsi"/>
          <w:noProof/>
          <w:lang w:eastAsia="fr-FR"/>
        </w:rPr>
        <w:drawing>
          <wp:anchor distT="0" distB="0" distL="114300" distR="114300" simplePos="0" relativeHeight="251662336" behindDoc="0" locked="0" layoutInCell="1" allowOverlap="1">
            <wp:simplePos x="0" y="0"/>
            <wp:positionH relativeFrom="margin">
              <wp:align>center</wp:align>
            </wp:positionH>
            <wp:positionV relativeFrom="paragraph">
              <wp:posOffset>-53612</wp:posOffset>
            </wp:positionV>
            <wp:extent cx="840921" cy="751114"/>
            <wp:effectExtent l="19050" t="0" r="0" b="0"/>
            <wp:wrapNone/>
            <wp:docPr id="8" name="Image 2" descr="Le ministère de l&amp;#39;Enseignement supérieur met en garde : &amp;quot;La publication  partagée sur les réseaux sociaux concernant l&amp;#39;octroi d&amp;#39;une bourse est  mensongère&amp;quot; - Tuni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e ministère de l&amp;#39;Enseignement supérieur met en garde : &amp;quot;La publication  partagée sur les réseaux sociaux concernant l&amp;#39;octroi d&amp;#39;une bourse est  mensongère&amp;quot; - Tunisie"/>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1509" t="9071" r="56920" b="48875"/>
                    <a:stretch>
                      <a:fillRect/>
                    </a:stretch>
                  </pic:blipFill>
                  <pic:spPr bwMode="auto">
                    <a:xfrm>
                      <a:off x="0" y="0"/>
                      <a:ext cx="840921" cy="751114"/>
                    </a:xfrm>
                    <a:prstGeom prst="rect">
                      <a:avLst/>
                    </a:prstGeom>
                    <a:noFill/>
                    <a:ln>
                      <a:noFill/>
                    </a:ln>
                  </pic:spPr>
                </pic:pic>
              </a:graphicData>
            </a:graphic>
          </wp:anchor>
        </w:drawing>
      </w:r>
      <w:r>
        <w:rPr>
          <w:rFonts w:asciiTheme="minorHAnsi" w:hAnsiTheme="minorHAnsi"/>
          <w:noProof/>
          <w:lang w:eastAsia="fr-FR"/>
        </w:rPr>
        <w:pict>
          <v:shapetype id="_x0000_t202" coordsize="21600,21600" o:spt="202" path="m,l,21600r21600,l21600,xe">
            <v:stroke joinstyle="miter"/>
            <v:path gradientshapeok="t" o:connecttype="rect"/>
          </v:shapetype>
          <v:shape id="_x0000_s1028" type="#_x0000_t202" style="position:absolute;left:0;text-align:left;margin-left:312.75pt;margin-top:3.15pt;width:215.65pt;height:50.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" fillcolor="white [3201]" stroked="f" strokeweight=".5pt">
            <v:textbox>
              <w:txbxContent>
                <w:p w:rsidR="00FC093D" w:rsidRDefault="00FC093D" w:rsidP="00FC093D">
                  <w:pPr>
                    <w:tabs>
                      <w:tab w:val="left" w:pos="1965"/>
                      <w:tab w:val="left" w:pos="3544"/>
                      <w:tab w:val="center" w:pos="5457"/>
                    </w:tabs>
                    <w:spacing w:before="0" w:after="0" w:line="240" w:lineRule="auto"/>
                    <w:jc w:val="center"/>
                    <w:rPr>
                      <w:rFonts w:ascii="Times New Roman" w:hAnsi="Times New Roman" w:cs="Times New Roman"/>
                      <w:b/>
                      <w:bCs/>
                      <w:szCs w:val="24"/>
                    </w:rPr>
                  </w:pPr>
                  <w:r>
                    <w:rPr>
                      <w:rFonts w:ascii="Times New Roman" w:hAnsi="Times New Roman" w:cs="Times New Roman"/>
                      <w:b/>
                      <w:bCs/>
                      <w:szCs w:val="24"/>
                    </w:rPr>
                    <w:t>Université de Sfax</w:t>
                  </w:r>
                </w:p>
                <w:p w:rsidR="00FC093D" w:rsidRDefault="00FC093D" w:rsidP="00FC093D">
                  <w:pPr>
                    <w:spacing w:before="0" w:after="0" w:line="240" w:lineRule="auto"/>
                    <w:jc w:val="left"/>
                    <w:rPr>
                      <w:rFonts w:ascii="Times New Roman" w:hAnsi="Times New Roman" w:cs="Times New Roman"/>
                      <w:b/>
                      <w:bCs/>
                      <w:szCs w:val="24"/>
                    </w:rPr>
                  </w:pPr>
                  <w:r>
                    <w:rPr>
                      <w:rFonts w:ascii="Times New Roman" w:hAnsi="Times New Roman" w:cs="Times New Roman"/>
                      <w:b/>
                      <w:bCs/>
                      <w:szCs w:val="24"/>
                    </w:rPr>
                    <w:t xml:space="preserve">        Ecole Supérieure de Commerce </w:t>
                  </w:r>
                </w:p>
                <w:p w:rsidR="00FC093D" w:rsidRPr="00FC093D" w:rsidRDefault="00FC093D" w:rsidP="00FC093D">
                  <w:pPr>
                    <w:autoSpaceDE w:val="0"/>
                    <w:autoSpaceDN w:val="0"/>
                    <w:adjustRightInd w:val="0"/>
                    <w:spacing w:before="0" w:after="0" w:line="240" w:lineRule="auto"/>
                    <w:ind w:left="0"/>
                    <w:jc w:val="center"/>
                    <w:rPr>
                      <w:rFonts w:ascii="Times New Roman" w:hAnsi="Times New Roman" w:cs="Times New Roman"/>
                      <w:b/>
                      <w:bCs/>
                      <w:szCs w:val="24"/>
                    </w:rPr>
                  </w:pPr>
                </w:p>
              </w:txbxContent>
            </v:textbox>
          </v:shape>
        </w:pict>
      </w:r>
      <w:r w:rsidRPr="00B15967">
        <w:rPr>
          <w:rFonts w:asciiTheme="minorHAnsi" w:hAnsiTheme="minorHAnsi"/>
          <w:noProof/>
        </w:rPr>
        <w:pict>
          <v:shape id="Zone de texte 11" o:spid="_x0000_s1026" type="#_x0000_t202" style="position:absolute;left:0;text-align:left;margin-left:-22.05pt;margin-top:3.15pt;width:240.75pt;height:50.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" fillcolor="white [3201]" stroked="f" strokeweight=".5pt">
            <v:textbox>
              <w:txbxContent>
                <w:p w:rsidR="00174CB1" w:rsidRDefault="00174CB1" w:rsidP="00174CB1">
                  <w:pPr>
                    <w:autoSpaceDE w:val="0"/>
                    <w:autoSpaceDN w:val="0"/>
                    <w:adjustRightInd w:val="0"/>
                    <w:spacing w:before="0" w:after="0" w:line="240" w:lineRule="auto"/>
                    <w:ind w:left="0"/>
                    <w:jc w:val="center"/>
                    <w:rPr>
                      <w:rFonts w:ascii="Times New Roman" w:hAnsi="Times New Roman" w:cs="Times New Roman"/>
                      <w:b/>
                      <w:bCs/>
                      <w:szCs w:val="24"/>
                    </w:rPr>
                  </w:pPr>
                  <w:r>
                    <w:rPr>
                      <w:rFonts w:ascii="Times New Roman" w:hAnsi="Times New Roman" w:cs="Times New Roman"/>
                      <w:b/>
                      <w:bCs/>
                      <w:szCs w:val="24"/>
                    </w:rPr>
                    <w:t>REPUBLIQUE TUNISIENNE</w:t>
                  </w:r>
                </w:p>
                <w:p w:rsidR="00174CB1" w:rsidRDefault="00174CB1" w:rsidP="00174CB1">
                  <w:pPr>
                    <w:autoSpaceDE w:val="0"/>
                    <w:autoSpaceDN w:val="0"/>
                    <w:adjustRightInd w:val="0"/>
                    <w:spacing w:before="0" w:after="0" w:line="240" w:lineRule="auto"/>
                    <w:ind w:left="0"/>
                    <w:jc w:val="center"/>
                    <w:rPr>
                      <w:rFonts w:ascii="Times New Roman" w:hAnsi="Times New Roman" w:cs="Times New Roman"/>
                      <w:b/>
                      <w:bCs/>
                      <w:szCs w:val="24"/>
                    </w:rPr>
                  </w:pPr>
                  <w:r>
                    <w:rPr>
                      <w:rFonts w:ascii="Times New Roman" w:hAnsi="Times New Roman" w:cs="Times New Roman"/>
                      <w:b/>
                      <w:bCs/>
                      <w:szCs w:val="24"/>
                    </w:rPr>
                    <w:t>Ministère de l’Enseignement Supérieur</w:t>
                  </w:r>
                </w:p>
                <w:p w:rsidR="00174CB1" w:rsidRDefault="00174CB1" w:rsidP="00174CB1">
                  <w:pPr>
                    <w:autoSpaceDE w:val="0"/>
                    <w:autoSpaceDN w:val="0"/>
                    <w:adjustRightInd w:val="0"/>
                    <w:spacing w:before="0" w:after="0" w:line="240" w:lineRule="auto"/>
                    <w:ind w:left="0"/>
                    <w:jc w:val="center"/>
                    <w:rPr>
                      <w:b/>
                      <w:bCs/>
                      <w:szCs w:val="24"/>
                    </w:rPr>
                  </w:pPr>
                  <w:r>
                    <w:rPr>
                      <w:rFonts w:ascii="Times New Roman" w:hAnsi="Times New Roman" w:cs="Times New Roman"/>
                      <w:b/>
                      <w:bCs/>
                      <w:szCs w:val="24"/>
                    </w:rPr>
                    <w:t>et de la Recherche Scientifique</w:t>
                  </w:r>
                </w:p>
                <w:p w:rsidR="00174CB1" w:rsidRDefault="00174CB1" w:rsidP="00174CB1">
                  <w:pPr>
                    <w:spacing w:before="0" w:after="0"/>
                    <w:jc w:val="center"/>
                  </w:pPr>
                </w:p>
              </w:txbxContent>
            </v:textbox>
          </v:shape>
        </w:pict>
      </w:r>
    </w:p>
    <w:p w:rsidR="00174CB1" w:rsidRDefault="00FC093D" w:rsidP="00174CB1">
      <w:pPr>
        <w:pStyle w:val="Paragraphedeliste"/>
        <w:tabs>
          <w:tab w:val="left" w:pos="1680"/>
          <w:tab w:val="left" w:leader="dot" w:pos="9639"/>
        </w:tabs>
        <w:spacing w:after="0"/>
        <w:ind w:left="1696" w:right="-23"/>
        <w:rPr>
          <w:rFonts w:asciiTheme="minorHAnsi" w:hAnsiTheme="minorHAnsi"/>
        </w:rPr>
      </w:pPr>
      <w:r>
        <w:rPr>
          <w:rFonts w:asciiTheme="minorHAnsi" w:hAnsiTheme="minorHAnsi"/>
          <w:noProof/>
          <w:lang w:eastAsia="fr-FR"/>
        </w:rPr>
        <w:drawing>
          <wp:anchor distT="0" distB="0" distL="114300" distR="114300" simplePos="0" relativeHeight="251667456" behindDoc="1" locked="0" layoutInCell="1" allowOverlap="1">
            <wp:simplePos x="0" y="0"/>
            <wp:positionH relativeFrom="column">
              <wp:posOffset>4834890</wp:posOffset>
            </wp:positionH>
            <wp:positionV relativeFrom="paragraph">
              <wp:posOffset>196215</wp:posOffset>
            </wp:positionV>
            <wp:extent cx="929005" cy="863600"/>
            <wp:effectExtent l="19050" t="0" r="4445" b="0"/>
            <wp:wrapTight wrapText="bothSides">
              <wp:wrapPolygon edited="0">
                <wp:start x="-443" y="0"/>
                <wp:lineTo x="-443" y="20965"/>
                <wp:lineTo x="21703" y="20965"/>
                <wp:lineTo x="21703" y="0"/>
                <wp:lineTo x="-443" y="0"/>
              </wp:wrapPolygon>
            </wp:wrapTight>
            <wp:docPr id="15" name="Image 10" descr="LOGO PAQ-DGSE ESC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Q-DGSE ESCS (2).jpg"/>
                    <pic:cNvPicPr/>
                  </pic:nvPicPr>
                  <pic:blipFill>
                    <a:blip r:embed="rId7" cstate="print"/>
                    <a:stretch>
                      <a:fillRect/>
                    </a:stretch>
                  </pic:blipFill>
                  <pic:spPr>
                    <a:xfrm>
                      <a:off x="0" y="0"/>
                      <a:ext cx="929005" cy="863600"/>
                    </a:xfrm>
                    <a:prstGeom prst="rect">
                      <a:avLst/>
                    </a:prstGeom>
                  </pic:spPr>
                </pic:pic>
              </a:graphicData>
            </a:graphic>
          </wp:anchor>
        </w:drawing>
      </w:r>
    </w:p>
    <w:p w:rsidR="00174CB1" w:rsidRDefault="00FC093D" w:rsidP="00174CB1">
      <w:pPr>
        <w:autoSpaceDE w:val="0"/>
        <w:autoSpaceDN w:val="0"/>
        <w:adjustRightInd w:val="0"/>
        <w:spacing w:after="0" w:line="240" w:lineRule="auto"/>
        <w:jc w:val="center"/>
        <w:rPr>
          <w:rFonts w:ascii="Times New Roman" w:hAnsi="Times New Roman" w:cs="Times New Roman"/>
          <w:b/>
          <w:bCs/>
          <w:szCs w:val="24"/>
        </w:rPr>
      </w:pPr>
      <w:r>
        <w:rPr>
          <w:rFonts w:ascii="Times New Roman" w:hAnsi="Times New Roman" w:cs="Times New Roman"/>
          <w:b/>
          <w:bCs/>
          <w:noProof/>
          <w:szCs w:val="24"/>
          <w:lang w:eastAsia="fr-FR"/>
        </w:rPr>
        <w:drawing>
          <wp:anchor distT="0" distB="0" distL="114300" distR="114300" simplePos="0" relativeHeight="251665408" behindDoc="1" locked="0" layoutInCell="1" allowOverlap="1">
            <wp:simplePos x="0" y="0"/>
            <wp:positionH relativeFrom="column">
              <wp:posOffset>2371725</wp:posOffset>
            </wp:positionH>
            <wp:positionV relativeFrom="paragraph">
              <wp:posOffset>217805</wp:posOffset>
            </wp:positionV>
            <wp:extent cx="1109345" cy="575945"/>
            <wp:effectExtent l="19050" t="0" r="0" b="0"/>
            <wp:wrapTight wrapText="bothSides">
              <wp:wrapPolygon edited="0">
                <wp:start x="4822" y="0"/>
                <wp:lineTo x="-371" y="10002"/>
                <wp:lineTo x="-371" y="15718"/>
                <wp:lineTo x="742" y="20719"/>
                <wp:lineTo x="1484" y="20719"/>
                <wp:lineTo x="10757" y="20719"/>
                <wp:lineTo x="18917" y="20719"/>
                <wp:lineTo x="21513" y="18576"/>
                <wp:lineTo x="21513" y="10717"/>
                <wp:lineTo x="17804" y="7144"/>
                <wp:lineTo x="6677" y="0"/>
                <wp:lineTo x="4822" y="0"/>
              </wp:wrapPolygon>
            </wp:wrapTight>
            <wp:docPr id="4" name="Image 3" descr="ESC Logo Vectoriel_Fr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Vectoriel_Fr (6).png"/>
                    <pic:cNvPicPr/>
                  </pic:nvPicPr>
                  <pic:blipFill>
                    <a:blip r:embed="rId8" cstate="print"/>
                    <a:stretch>
                      <a:fillRect/>
                    </a:stretch>
                  </pic:blipFill>
                  <pic:spPr>
                    <a:xfrm>
                      <a:off x="0" y="0"/>
                      <a:ext cx="1109345" cy="575945"/>
                    </a:xfrm>
                    <a:prstGeom prst="rect">
                      <a:avLst/>
                    </a:prstGeom>
                  </pic:spPr>
                </pic:pic>
              </a:graphicData>
            </a:graphic>
          </wp:anchor>
        </w:drawing>
      </w:r>
      <w:r>
        <w:rPr>
          <w:rFonts w:ascii="Times New Roman" w:hAnsi="Times New Roman" w:cs="Times New Roman"/>
          <w:b/>
          <w:bCs/>
          <w:noProof/>
          <w:szCs w:val="24"/>
          <w:lang w:eastAsia="fr-FR"/>
        </w:rPr>
        <w:drawing>
          <wp:anchor distT="0" distB="0" distL="114300" distR="114300" simplePos="0" relativeHeight="251664384" behindDoc="1" locked="0" layoutInCell="1" allowOverlap="1">
            <wp:simplePos x="0" y="0"/>
            <wp:positionH relativeFrom="column">
              <wp:posOffset>477520</wp:posOffset>
            </wp:positionH>
            <wp:positionV relativeFrom="paragraph">
              <wp:posOffset>141605</wp:posOffset>
            </wp:positionV>
            <wp:extent cx="726440" cy="719455"/>
            <wp:effectExtent l="19050" t="0" r="0" b="0"/>
            <wp:wrapTight wrapText="bothSides">
              <wp:wrapPolygon edited="0">
                <wp:start x="10196" y="0"/>
                <wp:lineTo x="6231" y="2288"/>
                <wp:lineTo x="3965" y="5719"/>
                <wp:lineTo x="3965" y="9151"/>
                <wp:lineTo x="566" y="14870"/>
                <wp:lineTo x="-566" y="19446"/>
                <wp:lineTo x="3965" y="21162"/>
                <wp:lineTo x="6231" y="21162"/>
                <wp:lineTo x="15294" y="21162"/>
                <wp:lineTo x="17559" y="21162"/>
                <wp:lineTo x="21524" y="19446"/>
                <wp:lineTo x="21524" y="17158"/>
                <wp:lineTo x="17559" y="9151"/>
                <wp:lineTo x="18126" y="5147"/>
                <wp:lineTo x="16427" y="1144"/>
                <wp:lineTo x="13594" y="0"/>
                <wp:lineTo x="10196" y="0"/>
              </wp:wrapPolygon>
            </wp:wrapTight>
            <wp:docPr id="3" name="Image 2" descr="usf 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f Fr.png"/>
                    <pic:cNvPicPr/>
                  </pic:nvPicPr>
                  <pic:blipFill>
                    <a:blip r:embed="rId9" cstate="print"/>
                    <a:stretch>
                      <a:fillRect/>
                    </a:stretch>
                  </pic:blipFill>
                  <pic:spPr>
                    <a:xfrm>
                      <a:off x="0" y="0"/>
                      <a:ext cx="726440" cy="719455"/>
                    </a:xfrm>
                    <a:prstGeom prst="rect">
                      <a:avLst/>
                    </a:prstGeom>
                  </pic:spPr>
                </pic:pic>
              </a:graphicData>
            </a:graphic>
          </wp:anchor>
        </w:drawing>
      </w:r>
    </w:p>
    <w:p w:rsidR="00174CB1" w:rsidRDefault="00174CB1" w:rsidP="00FC093D">
      <w:pPr>
        <w:autoSpaceDE w:val="0"/>
        <w:autoSpaceDN w:val="0"/>
        <w:adjustRightInd w:val="0"/>
        <w:spacing w:before="0" w:after="0" w:line="240" w:lineRule="auto"/>
        <w:jc w:val="center"/>
        <w:rPr>
          <w:rFonts w:ascii="Times New Roman" w:hAnsi="Times New Roman" w:cs="Times New Roman"/>
          <w:b/>
          <w:bCs/>
          <w:szCs w:val="24"/>
        </w:rPr>
      </w:pPr>
      <w:bookmarkStart w:id="0" w:name="_Hlk76758155"/>
      <w:bookmarkEnd w:id="0"/>
    </w:p>
    <w:p w:rsidR="00FC093D" w:rsidRDefault="00FC093D" w:rsidP="00174CB1">
      <w:pPr>
        <w:autoSpaceDE w:val="0"/>
        <w:autoSpaceDN w:val="0"/>
        <w:adjustRightInd w:val="0"/>
        <w:spacing w:before="0" w:after="0" w:line="240" w:lineRule="auto"/>
        <w:jc w:val="center"/>
        <w:rPr>
          <w:rFonts w:ascii="Times New Roman" w:hAnsi="Times New Roman" w:cs="Times New Roman"/>
          <w:b/>
          <w:bCs/>
          <w:color w:val="FF0000"/>
          <w:sz w:val="24"/>
          <w:szCs w:val="24"/>
        </w:rPr>
      </w:pPr>
    </w:p>
    <w:p w:rsidR="00FC093D" w:rsidRDefault="00FC093D" w:rsidP="00174CB1">
      <w:pPr>
        <w:autoSpaceDE w:val="0"/>
        <w:autoSpaceDN w:val="0"/>
        <w:adjustRightInd w:val="0"/>
        <w:spacing w:before="0" w:after="0" w:line="240" w:lineRule="auto"/>
        <w:jc w:val="center"/>
        <w:rPr>
          <w:rFonts w:ascii="Times New Roman" w:hAnsi="Times New Roman" w:cs="Times New Roman"/>
          <w:b/>
          <w:bCs/>
          <w:color w:val="FF0000"/>
          <w:sz w:val="24"/>
          <w:szCs w:val="24"/>
        </w:rPr>
      </w:pPr>
    </w:p>
    <w:p w:rsidR="00FC093D" w:rsidRDefault="00FC093D" w:rsidP="00174CB1">
      <w:pPr>
        <w:autoSpaceDE w:val="0"/>
        <w:autoSpaceDN w:val="0"/>
        <w:adjustRightInd w:val="0"/>
        <w:spacing w:before="0" w:after="0" w:line="240" w:lineRule="auto"/>
        <w:jc w:val="center"/>
        <w:rPr>
          <w:rFonts w:ascii="Times New Roman" w:hAnsi="Times New Roman" w:cs="Times New Roman"/>
          <w:b/>
          <w:bCs/>
          <w:color w:val="FF0000"/>
          <w:sz w:val="24"/>
          <w:szCs w:val="24"/>
        </w:rPr>
      </w:pPr>
    </w:p>
    <w:p w:rsidR="00174CB1" w:rsidRPr="00084FCC" w:rsidRDefault="00174CB1" w:rsidP="00174CB1">
      <w:pPr>
        <w:autoSpaceDE w:val="0"/>
        <w:autoSpaceDN w:val="0"/>
        <w:adjustRightInd w:val="0"/>
        <w:spacing w:before="0" w:after="0" w:line="240" w:lineRule="auto"/>
        <w:jc w:val="center"/>
        <w:rPr>
          <w:rFonts w:ascii="Times New Roman" w:hAnsi="Times New Roman" w:cs="Times New Roman"/>
          <w:b/>
          <w:bCs/>
          <w:color w:val="FF0000"/>
          <w:sz w:val="24"/>
          <w:szCs w:val="24"/>
        </w:rPr>
      </w:pPr>
      <w:r w:rsidRPr="00084FCC">
        <w:rPr>
          <w:rFonts w:ascii="Times New Roman" w:hAnsi="Times New Roman" w:cs="Times New Roman"/>
          <w:b/>
          <w:bCs/>
          <w:color w:val="FF0000"/>
          <w:sz w:val="24"/>
          <w:szCs w:val="24"/>
        </w:rPr>
        <w:t>AVIS NATIONAL DE SOLLICITATION DE MANIFESTATION D'INTÉRÊT</w:t>
      </w:r>
    </w:p>
    <w:p w:rsidR="00174CB1" w:rsidRPr="00084FCC" w:rsidRDefault="00174CB1" w:rsidP="00174CB1">
      <w:pPr>
        <w:autoSpaceDE w:val="0"/>
        <w:autoSpaceDN w:val="0"/>
        <w:adjustRightInd w:val="0"/>
        <w:spacing w:before="0" w:after="0" w:line="240" w:lineRule="auto"/>
        <w:jc w:val="center"/>
        <w:rPr>
          <w:rFonts w:ascii="Times New Roman" w:hAnsi="Times New Roman" w:cs="Times New Roman"/>
          <w:b/>
          <w:bCs/>
          <w:color w:val="FF0000"/>
          <w:sz w:val="24"/>
          <w:szCs w:val="24"/>
        </w:rPr>
      </w:pPr>
      <w:r w:rsidRPr="00084FCC">
        <w:rPr>
          <w:rFonts w:ascii="Times New Roman" w:hAnsi="Times New Roman" w:cs="Times New Roman"/>
          <w:b/>
          <w:bCs/>
          <w:color w:val="FF0000"/>
          <w:sz w:val="24"/>
          <w:szCs w:val="24"/>
        </w:rPr>
        <w:t>(EXPERT)</w:t>
      </w:r>
    </w:p>
    <w:p w:rsidR="00174CB1" w:rsidRPr="00537E07" w:rsidRDefault="00174CB1" w:rsidP="00174CB1">
      <w:pPr>
        <w:autoSpaceDE w:val="0"/>
        <w:autoSpaceDN w:val="0"/>
        <w:adjustRightInd w:val="0"/>
        <w:spacing w:before="0" w:after="0" w:line="240" w:lineRule="auto"/>
        <w:jc w:val="center"/>
        <w:rPr>
          <w:rFonts w:ascii="Times New Roman" w:hAnsi="Times New Roman" w:cs="Times New Roman"/>
          <w:b/>
          <w:bCs/>
          <w:color w:val="000000" w:themeColor="text1"/>
        </w:rPr>
      </w:pPr>
      <w:r w:rsidRPr="00537E07">
        <w:rPr>
          <w:rFonts w:ascii="Times New Roman" w:hAnsi="Times New Roman" w:cs="Times New Roman"/>
          <w:b/>
          <w:bCs/>
          <w:color w:val="000000" w:themeColor="text1"/>
        </w:rPr>
        <w:t>PAQ-DGSE-039-USF-ESCS</w:t>
      </w:r>
    </w:p>
    <w:p w:rsidR="00537E07" w:rsidRPr="00537E07" w:rsidRDefault="00B8663E" w:rsidP="009D4126">
      <w:pPr>
        <w:autoSpaceDE w:val="0"/>
        <w:autoSpaceDN w:val="0"/>
        <w:adjustRightInd w:val="0"/>
        <w:spacing w:before="0"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AMI-D</w:t>
      </w:r>
      <w:r w:rsidR="009D4126">
        <w:rPr>
          <w:rFonts w:ascii="Times New Roman" w:hAnsi="Times New Roman" w:cs="Times New Roman"/>
          <w:b/>
          <w:bCs/>
          <w:color w:val="000000" w:themeColor="text1"/>
        </w:rPr>
        <w:t>4</w:t>
      </w:r>
      <w:r w:rsidR="00F8612B">
        <w:rPr>
          <w:rFonts w:ascii="Times New Roman" w:hAnsi="Times New Roman" w:cs="Times New Roman"/>
          <w:b/>
          <w:bCs/>
          <w:color w:val="000000" w:themeColor="text1"/>
        </w:rPr>
        <w:t>-</w:t>
      </w:r>
      <w:r w:rsidR="009D4126">
        <w:rPr>
          <w:rFonts w:ascii="Times New Roman" w:hAnsi="Times New Roman" w:cs="Times New Roman"/>
          <w:b/>
          <w:bCs/>
          <w:color w:val="000000" w:themeColor="text1"/>
        </w:rPr>
        <w:t>11</w:t>
      </w:r>
      <w:r w:rsidR="00EF0B9D">
        <w:rPr>
          <w:rFonts w:ascii="Times New Roman" w:hAnsi="Times New Roman" w:cs="Times New Roman"/>
          <w:b/>
          <w:bCs/>
          <w:color w:val="000000" w:themeColor="text1"/>
        </w:rPr>
        <w:t>-202</w:t>
      </w:r>
      <w:r w:rsidR="009D4126">
        <w:rPr>
          <w:rFonts w:ascii="Times New Roman" w:hAnsi="Times New Roman" w:cs="Times New Roman"/>
          <w:b/>
          <w:bCs/>
          <w:color w:val="000000" w:themeColor="text1"/>
        </w:rPr>
        <w:t>4</w:t>
      </w:r>
    </w:p>
    <w:p w:rsidR="009D4126" w:rsidRPr="00FC093D" w:rsidRDefault="00812AC0" w:rsidP="00FC093D">
      <w:pPr>
        <w:ind w:left="0"/>
        <w:jc w:val="center"/>
        <w:rPr>
          <w:rFonts w:ascii="Times New Roman" w:hAnsi="Times New Roman" w:cs="Times New Roman"/>
          <w:b/>
          <w:bCs/>
          <w:color w:val="17365D" w:themeColor="text2" w:themeShade="BF"/>
          <w:sz w:val="24"/>
          <w:szCs w:val="24"/>
        </w:rPr>
      </w:pPr>
      <w:r w:rsidRPr="00FC093D">
        <w:rPr>
          <w:rFonts w:ascii="Times New Roman" w:hAnsi="Times New Roman" w:cs="Times New Roman"/>
          <w:b/>
          <w:bCs/>
          <w:color w:val="17365D" w:themeColor="text2" w:themeShade="BF"/>
          <w:sz w:val="24"/>
          <w:szCs w:val="24"/>
        </w:rPr>
        <w:t> </w:t>
      </w:r>
      <w:r w:rsidR="009D4126" w:rsidRPr="00FC093D">
        <w:rPr>
          <w:rFonts w:ascii="Times New Roman" w:hAnsi="Times New Roman" w:cs="Times New Roman"/>
          <w:b/>
          <w:bCs/>
          <w:color w:val="17365D" w:themeColor="text2" w:themeShade="BF"/>
          <w:sz w:val="24"/>
          <w:szCs w:val="24"/>
        </w:rPr>
        <w:t>« </w:t>
      </w:r>
      <w:r w:rsidR="00FC093D" w:rsidRPr="00FC093D">
        <w:rPr>
          <w:rFonts w:ascii="Times New Roman" w:hAnsi="Times New Roman" w:cs="Times New Roman"/>
          <w:b/>
          <w:bCs/>
          <w:color w:val="17365D" w:themeColor="text2" w:themeShade="BF"/>
          <w:sz w:val="24"/>
          <w:szCs w:val="24"/>
        </w:rPr>
        <w:t>F</w:t>
      </w:r>
      <w:r w:rsidR="009D4126" w:rsidRPr="00FC093D">
        <w:rPr>
          <w:rFonts w:ascii="Times New Roman" w:hAnsi="Times New Roman" w:cs="Times New Roman"/>
          <w:b/>
          <w:bCs/>
          <w:color w:val="17365D" w:themeColor="text2" w:themeShade="BF"/>
          <w:sz w:val="24"/>
          <w:szCs w:val="24"/>
        </w:rPr>
        <w:t>ormation des enseignants et des étudiants en pratique d’évaluation des sociétés »</w:t>
      </w:r>
    </w:p>
    <w:tbl>
      <w:tblPr>
        <w:tblW w:w="9735" w:type="dxa"/>
        <w:tblInd w:w="3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tblPr>
      <w:tblGrid>
        <w:gridCol w:w="9735"/>
      </w:tblGrid>
      <w:tr w:rsidR="00174CB1" w:rsidRPr="000D4E60" w:rsidTr="00F864FD">
        <w:trPr>
          <w:trHeight w:val="1135"/>
        </w:trPr>
        <w:tc>
          <w:tcPr>
            <w:tcW w:w="9735" w:type="dxa"/>
            <w:tcBorders>
              <w:top w:val="nil"/>
              <w:left w:val="nil"/>
              <w:bottom w:val="nil"/>
              <w:right w:val="nil"/>
            </w:tcBorders>
          </w:tcPr>
          <w:p w:rsidR="00174CB1" w:rsidRPr="004D7653" w:rsidRDefault="00174CB1" w:rsidP="00192073">
            <w:pPr>
              <w:autoSpaceDE w:val="0"/>
              <w:autoSpaceDN w:val="0"/>
              <w:adjustRightInd w:val="0"/>
              <w:spacing w:before="0" w:after="0"/>
              <w:ind w:left="0"/>
              <w:rPr>
                <w:rFonts w:asciiTheme="majorBidi" w:hAnsiTheme="majorBidi" w:cstheme="majorBidi"/>
              </w:rPr>
            </w:pPr>
            <w:r w:rsidRPr="004D7653">
              <w:rPr>
                <w:rFonts w:asciiTheme="majorBidi" w:hAnsiTheme="majorBidi" w:cstheme="majorBidi"/>
              </w:rPr>
              <w:t xml:space="preserve">Dans le cadre du Projet de Modernisation de l’Enseignement Supérieur en soutien à l’Employabilité </w:t>
            </w:r>
            <w:r w:rsidRPr="004D7653">
              <w:rPr>
                <w:rFonts w:ascii="Cambria Math" w:hAnsi="Cambria Math" w:cs="Cambria Math"/>
              </w:rPr>
              <w:t>≪</w:t>
            </w:r>
            <w:r w:rsidRPr="004D7653">
              <w:rPr>
                <w:rFonts w:asciiTheme="majorBidi" w:hAnsiTheme="majorBidi" w:cstheme="majorBidi"/>
              </w:rPr>
              <w:t>PromESsE</w:t>
            </w:r>
            <w:r w:rsidRPr="004D7653">
              <w:rPr>
                <w:rFonts w:ascii="Cambria Math" w:hAnsi="Cambria Math" w:cs="Cambria Math"/>
              </w:rPr>
              <w:t>≫</w:t>
            </w:r>
            <w:r w:rsidRPr="004D7653">
              <w:rPr>
                <w:rFonts w:asciiTheme="majorBidi" w:hAnsiTheme="majorBidi" w:cstheme="majorBidi"/>
              </w:rPr>
              <w:t xml:space="preserve">, le MESRS a lancé en décembre 2018 un Fonds d’Innovation pour le </w:t>
            </w:r>
            <w:r w:rsidRPr="004D7653">
              <w:rPr>
                <w:rFonts w:asciiTheme="majorBidi" w:hAnsiTheme="majorBidi" w:cstheme="majorBidi"/>
                <w:b/>
                <w:bCs/>
              </w:rPr>
              <w:t xml:space="preserve">Développement de la Gestion Stratégique des Universités </w:t>
            </w:r>
            <w:r w:rsidRPr="004D7653">
              <w:rPr>
                <w:rFonts w:asciiTheme="majorBidi" w:hAnsiTheme="majorBidi" w:cstheme="majorBidi"/>
              </w:rPr>
              <w:t>(PAQ-DGSU).</w:t>
            </w:r>
          </w:p>
          <w:p w:rsidR="00174CB1" w:rsidRPr="004D7653" w:rsidRDefault="00174CB1" w:rsidP="00192073">
            <w:pPr>
              <w:autoSpaceDE w:val="0"/>
              <w:autoSpaceDN w:val="0"/>
              <w:adjustRightInd w:val="0"/>
              <w:spacing w:before="0" w:after="0" w:line="240" w:lineRule="auto"/>
              <w:ind w:left="0"/>
              <w:rPr>
                <w:rFonts w:asciiTheme="majorBidi" w:hAnsiTheme="majorBidi" w:cstheme="majorBidi"/>
              </w:rPr>
            </w:pPr>
            <w:r w:rsidRPr="004D7653">
              <w:rPr>
                <w:rFonts w:asciiTheme="majorBidi" w:hAnsiTheme="majorBidi" w:cstheme="majorBidi"/>
              </w:rPr>
              <w:t>En articulation avec le PAQ-DGSU, le Ministère engage un nouveau Fonds (PAQ-DGSE) structurant destiné aux Etablissements d’enseignement supérieur et de recherche (EESR) et aux Instituts d’Etudes Technologiques (ISET), dans le but de soutenir leurs propres projets de modernisation et, par conséquent, faciliter et accélérer la migration des universités publiques vers davantage d’autonomie institutionnelle, de redevabilité et de performance.</w:t>
            </w:r>
          </w:p>
          <w:p w:rsidR="00EE518C" w:rsidRDefault="00B8663E" w:rsidP="00EE518C">
            <w:pPr>
              <w:autoSpaceDE w:val="0"/>
              <w:autoSpaceDN w:val="0"/>
              <w:adjustRightInd w:val="0"/>
              <w:spacing w:before="0" w:after="0" w:line="240" w:lineRule="auto"/>
              <w:ind w:left="0"/>
              <w:rPr>
                <w:rFonts w:asciiTheme="majorBidi" w:hAnsiTheme="majorBidi" w:cstheme="majorBidi"/>
              </w:rPr>
            </w:pPr>
            <w:r>
              <w:rPr>
                <w:rFonts w:asciiTheme="majorBidi" w:hAnsiTheme="majorBidi" w:cstheme="majorBidi"/>
              </w:rPr>
              <w:t>Dans le cadre du deuxième</w:t>
            </w:r>
            <w:r w:rsidR="00174CB1" w:rsidRPr="004D7653">
              <w:rPr>
                <w:rFonts w:asciiTheme="majorBidi" w:hAnsiTheme="majorBidi" w:cstheme="majorBidi"/>
              </w:rPr>
              <w:t xml:space="preserve"> domaine</w:t>
            </w:r>
            <w:r w:rsidRPr="00B8663E">
              <w:rPr>
                <w:rFonts w:asciiTheme="majorBidi" w:hAnsiTheme="majorBidi" w:cstheme="majorBidi"/>
              </w:rPr>
              <w:t xml:space="preserve"> Formation et Employabilité</w:t>
            </w:r>
            <w:r>
              <w:rPr>
                <w:rFonts w:asciiTheme="majorBidi" w:hAnsiTheme="majorBidi" w:cstheme="majorBidi"/>
              </w:rPr>
              <w:t xml:space="preserve">, </w:t>
            </w:r>
            <w:r w:rsidR="00446E35" w:rsidRPr="004D7653">
              <w:rPr>
                <w:rFonts w:asciiTheme="majorBidi" w:hAnsiTheme="majorBidi" w:cstheme="majorBidi"/>
              </w:rPr>
              <w:t xml:space="preserve">L’ESC de Sfax se propose, de solliciter les services d’un </w:t>
            </w:r>
            <w:r w:rsidR="00446E35" w:rsidRPr="004D7653">
              <w:rPr>
                <w:rFonts w:asciiTheme="majorBidi" w:eastAsia="Tahoma" w:hAnsiTheme="majorBidi" w:cstheme="majorBidi"/>
              </w:rPr>
              <w:t>expert/consultant individuel ou cabinet de consulting</w:t>
            </w:r>
            <w:r w:rsidR="00446E35" w:rsidRPr="004D7653">
              <w:rPr>
                <w:rFonts w:asciiTheme="majorBidi" w:hAnsiTheme="majorBidi" w:cstheme="majorBidi"/>
              </w:rPr>
              <w:t xml:space="preserve"> pour</w:t>
            </w:r>
            <w:r w:rsidR="00446E35" w:rsidRPr="00446E35">
              <w:rPr>
                <w:rFonts w:asciiTheme="majorBidi" w:hAnsiTheme="majorBidi" w:cstheme="majorBidi"/>
              </w:rPr>
              <w:t xml:space="preserve"> la formation</w:t>
            </w:r>
            <w:r w:rsidR="00EE518C">
              <w:rPr>
                <w:rFonts w:asciiTheme="majorBidi" w:hAnsiTheme="majorBidi" w:cstheme="majorBidi"/>
              </w:rPr>
              <w:t xml:space="preserve"> des formateurs à l’ESCS. Cette </w:t>
            </w:r>
            <w:r w:rsidR="00EE518C" w:rsidRPr="00EE518C">
              <w:rPr>
                <w:rFonts w:asciiTheme="majorBidi" w:hAnsiTheme="majorBidi" w:cstheme="majorBidi"/>
              </w:rPr>
              <w:t>formation vise à améliorer la qualité des enseignements, savoir utiliser efficacement</w:t>
            </w:r>
            <w:r w:rsidR="00EE518C">
              <w:rPr>
                <w:rFonts w:asciiTheme="majorBidi" w:hAnsiTheme="majorBidi" w:cstheme="majorBidi"/>
              </w:rPr>
              <w:t xml:space="preserve"> </w:t>
            </w:r>
            <w:r w:rsidR="00EE518C" w:rsidRPr="00EE518C">
              <w:rPr>
                <w:rFonts w:asciiTheme="majorBidi" w:hAnsiTheme="majorBidi" w:cstheme="majorBidi"/>
              </w:rPr>
              <w:t>les outils de la communication pédagogique, moderniser et rénover les méthodes</w:t>
            </w:r>
            <w:r w:rsidR="00EE518C">
              <w:rPr>
                <w:rFonts w:asciiTheme="majorBidi" w:hAnsiTheme="majorBidi" w:cstheme="majorBidi"/>
              </w:rPr>
              <w:t xml:space="preserve"> </w:t>
            </w:r>
            <w:r w:rsidR="00EE518C" w:rsidRPr="00EE518C">
              <w:rPr>
                <w:rFonts w:asciiTheme="majorBidi" w:hAnsiTheme="majorBidi" w:cstheme="majorBidi"/>
              </w:rPr>
              <w:t>pédagogiques, développer des compétences en pédagogie active des enseignants.</w:t>
            </w:r>
          </w:p>
          <w:p w:rsidR="00174CB1" w:rsidRPr="004D7653" w:rsidRDefault="00174CB1" w:rsidP="00EE518C">
            <w:pPr>
              <w:autoSpaceDE w:val="0"/>
              <w:autoSpaceDN w:val="0"/>
              <w:adjustRightInd w:val="0"/>
              <w:spacing w:before="0" w:after="0" w:line="240" w:lineRule="auto"/>
              <w:ind w:left="0"/>
              <w:rPr>
                <w:rFonts w:asciiTheme="majorBidi" w:hAnsiTheme="majorBidi" w:cstheme="majorBidi"/>
              </w:rPr>
            </w:pPr>
            <w:r w:rsidRPr="004D7653">
              <w:rPr>
                <w:rFonts w:asciiTheme="majorBidi" w:hAnsiTheme="majorBidi" w:cstheme="majorBidi"/>
              </w:rPr>
              <w:t xml:space="preserve">Les experts intéressés à assurer cette formation selon les termes de références, téléchargeables sur le site de l’ESC de Sfax : </w:t>
            </w:r>
            <w:hyperlink r:id="rId10" w:history="1">
              <w:r w:rsidRPr="004D7653">
                <w:rPr>
                  <w:rStyle w:val="Lienhypertexte"/>
                  <w:rFonts w:asciiTheme="majorBidi" w:hAnsiTheme="majorBidi" w:cstheme="majorBidi"/>
                  <w:color w:val="auto"/>
                </w:rPr>
                <w:t>http://www.escs.rnu.tn/</w:t>
              </w:r>
            </w:hyperlink>
            <w:r w:rsidRPr="004D7653">
              <w:rPr>
                <w:rFonts w:asciiTheme="majorBidi" w:hAnsiTheme="majorBidi" w:cstheme="majorBidi"/>
              </w:rPr>
              <w:t>, doivent manifester leur intérêt pour fournir les services demandés. Ils doivent fournir les documents suivants :  1. Lettre de candidature au nom de Monsieur le directeur de l’Ecole Supérieure de Commerce de Sfax ; 2. Un Curriculum Vitae selon le modèle joint en annexe des termes de référence ; 3. Tous moyens de preuves indiquant que le candidat atteste de l'expérience et des compétences nécessaires et qu'il est qualifié pour exécuter les prestations demandées; 4. Une liste des références du consultant dans des missions similaires (5 dernières années); 5. Une copie de pièces justificatives incluant :    * les diplômes, * les qualifications du candidat en rapport avec la nature de la mission.</w:t>
            </w:r>
          </w:p>
          <w:p w:rsidR="00174CB1" w:rsidRPr="004D7653" w:rsidRDefault="00174CB1" w:rsidP="00192073">
            <w:pPr>
              <w:autoSpaceDE w:val="0"/>
              <w:autoSpaceDN w:val="0"/>
              <w:adjustRightInd w:val="0"/>
              <w:spacing w:before="0" w:after="0" w:line="240" w:lineRule="auto"/>
              <w:ind w:left="0"/>
              <w:rPr>
                <w:rFonts w:asciiTheme="majorBidi" w:hAnsiTheme="majorBidi" w:cstheme="majorBidi"/>
              </w:rPr>
            </w:pPr>
            <w:r w:rsidRPr="004D7653">
              <w:rPr>
                <w:rFonts w:asciiTheme="majorBidi" w:hAnsiTheme="majorBidi" w:cstheme="majorBidi"/>
              </w:rPr>
              <w:t xml:space="preserve">L’expert sera sélectionné en accord avec les procédures définies dans les directives « Sélection et Emploi de Consultants par les Emprunteurs de la Banque Mondiale ». </w:t>
            </w:r>
          </w:p>
          <w:p w:rsidR="00174CB1" w:rsidRPr="004D7653" w:rsidRDefault="00174CB1" w:rsidP="00192073">
            <w:pPr>
              <w:autoSpaceDE w:val="0"/>
              <w:autoSpaceDN w:val="0"/>
              <w:adjustRightInd w:val="0"/>
              <w:spacing w:before="0" w:after="0" w:line="240" w:lineRule="auto"/>
              <w:ind w:left="0"/>
              <w:rPr>
                <w:rFonts w:asciiTheme="majorBidi" w:hAnsiTheme="majorBidi" w:cstheme="majorBidi"/>
              </w:rPr>
            </w:pPr>
            <w:r w:rsidRPr="004D7653">
              <w:rPr>
                <w:rFonts w:asciiTheme="majorBidi" w:hAnsiTheme="majorBidi" w:cstheme="majorBidi"/>
              </w:rPr>
              <w:t xml:space="preserve">Pour plus d’informations se rapportant au sujet des termes de références, les candidats intéressés doivent consulter  le site de l’ESC de Sfax : </w:t>
            </w:r>
            <w:hyperlink r:id="rId11" w:history="1">
              <w:r w:rsidRPr="004D7653">
                <w:rPr>
                  <w:rStyle w:val="Lienhypertexte"/>
                  <w:rFonts w:asciiTheme="majorBidi" w:hAnsiTheme="majorBidi" w:cstheme="majorBidi"/>
                  <w:color w:val="auto"/>
                </w:rPr>
                <w:t>http://www.escs.rnu.tn/</w:t>
              </w:r>
            </w:hyperlink>
            <w:r w:rsidRPr="004D7653">
              <w:rPr>
                <w:rFonts w:asciiTheme="majorBidi" w:hAnsiTheme="majorBidi" w:cstheme="majorBidi"/>
              </w:rPr>
              <w:t>.</w:t>
            </w:r>
          </w:p>
          <w:p w:rsidR="00174CB1" w:rsidRDefault="00174CB1" w:rsidP="009D4126">
            <w:pPr>
              <w:spacing w:after="0"/>
              <w:ind w:left="0"/>
              <w:rPr>
                <w:rFonts w:ascii="Garamond" w:hAnsi="Garamond" w:cstheme="majorBidi"/>
                <w:b/>
                <w:bCs/>
              </w:rPr>
            </w:pPr>
            <w:r w:rsidRPr="004D7653">
              <w:rPr>
                <w:rFonts w:asciiTheme="majorBidi" w:hAnsiTheme="majorBidi" w:cstheme="majorBidi"/>
              </w:rPr>
              <w:t>Les dossiers de manifestations d’intérêt doivent parvenir par voie postale (normale, recommandée ou rapide) ou par dépôt direct au bureau d’ordre de l’Ecole Supérieure de Commerce de Sfax, à l’adresse suivante: «</w:t>
            </w:r>
            <w:r w:rsidRPr="004D7653">
              <w:rPr>
                <w:rStyle w:val="Accentuation"/>
                <w:rFonts w:asciiTheme="majorBidi" w:hAnsiTheme="majorBidi" w:cstheme="majorBidi"/>
                <w:i w:val="0"/>
                <w:iCs w:val="0"/>
                <w:shd w:val="clear" w:color="auto" w:fill="FFFFFF"/>
              </w:rPr>
              <w:t>Route</w:t>
            </w:r>
            <w:r w:rsidRPr="004D7653">
              <w:rPr>
                <w:rFonts w:asciiTheme="majorBidi" w:hAnsiTheme="majorBidi" w:cstheme="majorBidi"/>
                <w:shd w:val="clear" w:color="auto" w:fill="FFFFFF"/>
              </w:rPr>
              <w:t> de l'Aérodrome km 04 - B.P. 1081 - </w:t>
            </w:r>
            <w:r w:rsidRPr="004D7653">
              <w:rPr>
                <w:rStyle w:val="Accentuation"/>
                <w:rFonts w:asciiTheme="majorBidi" w:hAnsiTheme="majorBidi" w:cstheme="majorBidi"/>
              </w:rPr>
              <w:t>S</w:t>
            </w:r>
            <w:r w:rsidRPr="004D7653">
              <w:rPr>
                <w:rStyle w:val="Accentuation"/>
                <w:rFonts w:asciiTheme="majorBidi" w:hAnsiTheme="majorBidi" w:cstheme="majorBidi"/>
                <w:i w:val="0"/>
                <w:iCs w:val="0"/>
                <w:shd w:val="clear" w:color="auto" w:fill="FFFFFF"/>
              </w:rPr>
              <w:t>fax</w:t>
            </w:r>
            <w:r w:rsidRPr="004D7653">
              <w:rPr>
                <w:rFonts w:asciiTheme="majorBidi" w:hAnsiTheme="majorBidi" w:cstheme="majorBidi"/>
                <w:shd w:val="clear" w:color="auto" w:fill="FFFFFF"/>
              </w:rPr>
              <w:t> 3018-</w:t>
            </w:r>
            <w:r w:rsidRPr="004D7653">
              <w:rPr>
                <w:rFonts w:asciiTheme="majorBidi" w:hAnsiTheme="majorBidi" w:cstheme="majorBidi"/>
              </w:rPr>
              <w:t xml:space="preserve">Tunisie», au plus tard le </w:t>
            </w:r>
            <w:bookmarkStart w:id="1" w:name="_GoBack"/>
            <w:bookmarkEnd w:id="1"/>
            <w:r w:rsidR="00FC093D">
              <w:rPr>
                <w:rFonts w:asciiTheme="majorBidi" w:hAnsiTheme="majorBidi" w:cstheme="majorBidi"/>
                <w:b/>
                <w:bCs/>
                <w:color w:val="FF0000"/>
              </w:rPr>
              <w:t>29</w:t>
            </w:r>
            <w:r w:rsidRPr="00900EDB">
              <w:rPr>
                <w:rFonts w:asciiTheme="majorBidi" w:hAnsiTheme="majorBidi" w:cstheme="majorBidi"/>
                <w:b/>
                <w:bCs/>
                <w:color w:val="FF0000"/>
              </w:rPr>
              <w:t>/</w:t>
            </w:r>
            <w:r w:rsidR="009D4126">
              <w:rPr>
                <w:rFonts w:asciiTheme="majorBidi" w:hAnsiTheme="majorBidi" w:cstheme="majorBidi"/>
                <w:b/>
                <w:bCs/>
                <w:color w:val="FF0000"/>
              </w:rPr>
              <w:t>11</w:t>
            </w:r>
            <w:r w:rsidR="00EF0B9D">
              <w:rPr>
                <w:rFonts w:asciiTheme="majorBidi" w:hAnsiTheme="majorBidi" w:cstheme="majorBidi"/>
                <w:b/>
                <w:bCs/>
                <w:color w:val="FF0000"/>
              </w:rPr>
              <w:t>/202</w:t>
            </w:r>
            <w:r w:rsidR="009D4126">
              <w:rPr>
                <w:rFonts w:asciiTheme="majorBidi" w:hAnsiTheme="majorBidi" w:cstheme="majorBidi"/>
                <w:b/>
                <w:bCs/>
                <w:color w:val="FF0000"/>
              </w:rPr>
              <w:t>4</w:t>
            </w:r>
            <w:r w:rsidR="00B8663E">
              <w:rPr>
                <w:rFonts w:asciiTheme="majorBidi" w:hAnsiTheme="majorBidi" w:cstheme="majorBidi"/>
                <w:b/>
                <w:bCs/>
                <w:color w:val="FF0000"/>
              </w:rPr>
              <w:t xml:space="preserve"> à 15h 3</w:t>
            </w:r>
            <w:r w:rsidRPr="00900EDB">
              <w:rPr>
                <w:rFonts w:asciiTheme="majorBidi" w:hAnsiTheme="majorBidi" w:cstheme="majorBidi"/>
                <w:b/>
                <w:bCs/>
                <w:color w:val="FF0000"/>
              </w:rPr>
              <w:t>0 mn</w:t>
            </w:r>
            <w:r w:rsidRPr="004D7653">
              <w:rPr>
                <w:rFonts w:asciiTheme="majorBidi" w:hAnsiTheme="majorBidi" w:cstheme="majorBidi"/>
              </w:rPr>
              <w:t>, heure locale avec la mention suivante :</w:t>
            </w:r>
          </w:p>
          <w:p w:rsidR="00174CB1" w:rsidRDefault="00174CB1" w:rsidP="00192073">
            <w:pPr>
              <w:pBdr>
                <w:top w:val="single" w:sz="4" w:space="1" w:color="auto"/>
                <w:left w:val="single" w:sz="4" w:space="4" w:color="auto"/>
                <w:bottom w:val="single" w:sz="4" w:space="1" w:color="auto"/>
                <w:right w:val="single" w:sz="4" w:space="4" w:color="auto"/>
              </w:pBdr>
              <w:autoSpaceDE w:val="0"/>
              <w:autoSpaceDN w:val="0"/>
              <w:adjustRightInd w:val="0"/>
              <w:spacing w:before="0" w:after="0" w:line="240" w:lineRule="auto"/>
              <w:ind w:left="0"/>
              <w:jc w:val="center"/>
              <w:rPr>
                <w:rFonts w:ascii="Garamond" w:hAnsi="Garamond" w:cstheme="majorBidi"/>
                <w:b/>
                <w:bCs/>
              </w:rPr>
            </w:pPr>
            <w:r w:rsidRPr="000D4E60">
              <w:rPr>
                <w:rFonts w:ascii="Garamond" w:hAnsi="Garamond" w:cstheme="majorBidi"/>
                <w:b/>
                <w:bCs/>
              </w:rPr>
              <w:t xml:space="preserve">Projet PAQ-DGSE-039-US-ESCS </w:t>
            </w:r>
          </w:p>
          <w:p w:rsidR="00174CB1" w:rsidRDefault="009D4126" w:rsidP="009D4126">
            <w:pPr>
              <w:pBdr>
                <w:top w:val="single" w:sz="4" w:space="1" w:color="auto"/>
                <w:left w:val="single" w:sz="4" w:space="4" w:color="auto"/>
                <w:bottom w:val="single" w:sz="4" w:space="1" w:color="auto"/>
                <w:right w:val="single" w:sz="4" w:space="4" w:color="auto"/>
              </w:pBdr>
              <w:autoSpaceDE w:val="0"/>
              <w:autoSpaceDN w:val="0"/>
              <w:adjustRightInd w:val="0"/>
              <w:spacing w:before="0" w:after="0" w:line="240" w:lineRule="auto"/>
              <w:ind w:left="0"/>
              <w:jc w:val="center"/>
              <w:rPr>
                <w:rFonts w:ascii="Garamond" w:hAnsi="Garamond" w:cstheme="majorBidi"/>
                <w:b/>
                <w:bCs/>
              </w:rPr>
            </w:pPr>
            <w:r>
              <w:rPr>
                <w:rFonts w:ascii="Garamond" w:hAnsi="Garamond" w:cstheme="majorBidi"/>
                <w:b/>
                <w:bCs/>
              </w:rPr>
              <w:t>TDR-D4</w:t>
            </w:r>
            <w:r w:rsidR="00174CB1" w:rsidRPr="000D4E60">
              <w:rPr>
                <w:rFonts w:ascii="Garamond" w:hAnsi="Garamond" w:cstheme="majorBidi"/>
                <w:b/>
                <w:bCs/>
              </w:rPr>
              <w:t>-</w:t>
            </w:r>
            <w:r>
              <w:rPr>
                <w:rFonts w:ascii="Garamond" w:hAnsi="Garamond" w:cstheme="majorBidi"/>
                <w:b/>
                <w:bCs/>
              </w:rPr>
              <w:t>11</w:t>
            </w:r>
            <w:r w:rsidR="00EF0B9D">
              <w:rPr>
                <w:rFonts w:ascii="Garamond" w:hAnsi="Garamond" w:cstheme="majorBidi"/>
                <w:b/>
                <w:bCs/>
              </w:rPr>
              <w:t>-202</w:t>
            </w:r>
            <w:r>
              <w:rPr>
                <w:rFonts w:ascii="Garamond" w:hAnsi="Garamond" w:cstheme="majorBidi"/>
                <w:b/>
                <w:bCs/>
              </w:rPr>
              <w:t>4</w:t>
            </w:r>
          </w:p>
          <w:p w:rsidR="00FC093D" w:rsidRDefault="00174CB1" w:rsidP="00FC093D">
            <w:pPr>
              <w:ind w:left="0"/>
              <w:jc w:val="center"/>
              <w:rPr>
                <w:rFonts w:ascii="Times New Roman" w:hAnsi="Times New Roman" w:cs="Times New Roman"/>
                <w:b/>
                <w:bCs/>
                <w:sz w:val="28"/>
                <w:szCs w:val="28"/>
              </w:rPr>
            </w:pPr>
            <w:r w:rsidRPr="000D4E60">
              <w:rPr>
                <w:rFonts w:ascii="Garamond" w:hAnsi="Garamond" w:cstheme="majorBidi"/>
              </w:rPr>
              <w:t>« </w:t>
            </w:r>
            <w:r w:rsidRPr="000D4E60">
              <w:rPr>
                <w:rFonts w:ascii="Garamond" w:hAnsi="Garamond" w:cstheme="majorBidi"/>
                <w:b/>
                <w:bCs/>
              </w:rPr>
              <w:t xml:space="preserve">NE PAS OUVRIR, </w:t>
            </w:r>
            <w:r w:rsidR="00FC093D">
              <w:rPr>
                <w:rFonts w:ascii="Times New Roman" w:hAnsi="Times New Roman" w:cs="Times New Roman"/>
                <w:b/>
                <w:bCs/>
                <w:color w:val="17365D" w:themeColor="text2" w:themeShade="BF"/>
                <w:sz w:val="28"/>
                <w:szCs w:val="28"/>
              </w:rPr>
              <w:t> </w:t>
            </w:r>
            <w:r w:rsidR="00FC093D" w:rsidRPr="00FC093D">
              <w:rPr>
                <w:rFonts w:ascii="Times New Roman" w:hAnsi="Times New Roman" w:cs="Times New Roman"/>
                <w:b/>
                <w:bCs/>
                <w:sz w:val="28"/>
                <w:szCs w:val="28"/>
              </w:rPr>
              <w:t>Formation des enseignants et des étudiants en pratique d’évaluation des sociétés »</w:t>
            </w:r>
          </w:p>
          <w:p w:rsidR="00174CB1" w:rsidRPr="004D7653" w:rsidRDefault="00174CB1" w:rsidP="00FC093D">
            <w:pPr>
              <w:ind w:left="0"/>
              <w:jc w:val="center"/>
              <w:rPr>
                <w:rFonts w:ascii="Garamond" w:hAnsi="Garamond" w:cs="Tahoma"/>
                <w:spacing w:val="4"/>
                <w:position w:val="-1"/>
              </w:rPr>
            </w:pPr>
            <w:r w:rsidRPr="000D4E60">
              <w:rPr>
                <w:rFonts w:ascii="Garamond" w:hAnsi="Garamond"/>
                <w:shd w:val="clear" w:color="auto" w:fill="FFFFFF"/>
              </w:rPr>
              <w:t>Tél : 216 74 279 620. Fax : 216 74 278 630</w:t>
            </w:r>
          </w:p>
        </w:tc>
      </w:tr>
    </w:tbl>
    <w:p w:rsidR="005364CE" w:rsidRPr="000D4E60" w:rsidRDefault="005364CE" w:rsidP="00FC093D">
      <w:pPr>
        <w:ind w:left="0"/>
      </w:pPr>
    </w:p>
    <w:sectPr w:rsidR="005364CE" w:rsidRPr="000D4E60" w:rsidSect="004D7653">
      <w:footerReference w:type="default" r:id="rId12"/>
      <w:pgSz w:w="11920" w:h="16840"/>
      <w:pgMar w:top="993" w:right="1180" w:bottom="1560" w:left="1180" w:header="0" w:footer="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331" w:rsidRDefault="00827331">
      <w:pPr>
        <w:spacing w:before="0" w:after="0" w:line="240" w:lineRule="auto"/>
      </w:pPr>
      <w:r>
        <w:separator/>
      </w:r>
    </w:p>
  </w:endnote>
  <w:endnote w:type="continuationSeparator" w:id="1">
    <w:p w:rsidR="00827331" w:rsidRDefault="0082733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C2" w:rsidRDefault="009A29C2" w:rsidP="009A29C2">
    <w:pPr>
      <w:spacing w:after="0"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331" w:rsidRDefault="00827331">
      <w:pPr>
        <w:spacing w:before="0" w:after="0" w:line="240" w:lineRule="auto"/>
      </w:pPr>
      <w:r>
        <w:separator/>
      </w:r>
    </w:p>
  </w:footnote>
  <w:footnote w:type="continuationSeparator" w:id="1">
    <w:p w:rsidR="00827331" w:rsidRDefault="00827331">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29698"/>
  </w:hdrShapeDefaults>
  <w:footnotePr>
    <w:footnote w:id="0"/>
    <w:footnote w:id="1"/>
  </w:footnotePr>
  <w:endnotePr>
    <w:endnote w:id="0"/>
    <w:endnote w:id="1"/>
  </w:endnotePr>
  <w:compat/>
  <w:rsids>
    <w:rsidRoot w:val="000E3D0A"/>
    <w:rsid w:val="000D4E60"/>
    <w:rsid w:val="000E3D0A"/>
    <w:rsid w:val="00174CB1"/>
    <w:rsid w:val="00184A0E"/>
    <w:rsid w:val="002A7512"/>
    <w:rsid w:val="002B3616"/>
    <w:rsid w:val="00360B1F"/>
    <w:rsid w:val="0037077B"/>
    <w:rsid w:val="003B68BE"/>
    <w:rsid w:val="00446E35"/>
    <w:rsid w:val="00473A95"/>
    <w:rsid w:val="004924DF"/>
    <w:rsid w:val="004D7653"/>
    <w:rsid w:val="005364CE"/>
    <w:rsid w:val="00537E07"/>
    <w:rsid w:val="005635DD"/>
    <w:rsid w:val="005B2162"/>
    <w:rsid w:val="005E0987"/>
    <w:rsid w:val="00617A78"/>
    <w:rsid w:val="006A4B9D"/>
    <w:rsid w:val="00732CA0"/>
    <w:rsid w:val="00793675"/>
    <w:rsid w:val="007C2807"/>
    <w:rsid w:val="00812AC0"/>
    <w:rsid w:val="00827331"/>
    <w:rsid w:val="00844709"/>
    <w:rsid w:val="0089605B"/>
    <w:rsid w:val="00900EDB"/>
    <w:rsid w:val="00910FA2"/>
    <w:rsid w:val="00937484"/>
    <w:rsid w:val="009A29C2"/>
    <w:rsid w:val="009D0D0F"/>
    <w:rsid w:val="009D4126"/>
    <w:rsid w:val="009D7295"/>
    <w:rsid w:val="009E7978"/>
    <w:rsid w:val="00B15967"/>
    <w:rsid w:val="00B8663E"/>
    <w:rsid w:val="00BA4B44"/>
    <w:rsid w:val="00C443F2"/>
    <w:rsid w:val="00C7789B"/>
    <w:rsid w:val="00CF2E3E"/>
    <w:rsid w:val="00D032B6"/>
    <w:rsid w:val="00D970BA"/>
    <w:rsid w:val="00E17723"/>
    <w:rsid w:val="00E542E6"/>
    <w:rsid w:val="00EE518C"/>
    <w:rsid w:val="00EF0B9D"/>
    <w:rsid w:val="00F8008A"/>
    <w:rsid w:val="00F8612B"/>
    <w:rsid w:val="00F864FD"/>
    <w:rsid w:val="00FC093D"/>
    <w:rsid w:val="00FE13D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D0A"/>
    <w:pPr>
      <w:spacing w:before="120" w:after="120"/>
      <w:ind w:left="284"/>
      <w:jc w:val="both"/>
    </w:pPr>
    <w:rPr>
      <w:rFonts w:eastAsia="Times New Roman"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E3D0A"/>
    <w:rPr>
      <w:rFonts w:cs="Times New Roman"/>
      <w:color w:val="0000FF" w:themeColor="hyperlink"/>
      <w:u w:val="single"/>
    </w:rPr>
  </w:style>
  <w:style w:type="paragraph" w:styleId="Paragraphedeliste">
    <w:name w:val="List Paragraph"/>
    <w:basedOn w:val="Normal"/>
    <w:uiPriority w:val="34"/>
    <w:qFormat/>
    <w:rsid w:val="000E3D0A"/>
    <w:pPr>
      <w:ind w:left="720"/>
      <w:contextualSpacing/>
    </w:pPr>
    <w:rPr>
      <w:rFonts w:ascii="Calibri" w:hAnsi="Calibri"/>
    </w:rPr>
  </w:style>
  <w:style w:type="character" w:styleId="Accentuation">
    <w:name w:val="Emphasis"/>
    <w:basedOn w:val="Policepardfaut"/>
    <w:uiPriority w:val="20"/>
    <w:qFormat/>
    <w:rsid w:val="000E3D0A"/>
    <w:rPr>
      <w:rFonts w:cs="Times New Roman"/>
      <w:i/>
      <w:iCs/>
    </w:rPr>
  </w:style>
  <w:style w:type="paragraph" w:styleId="Textedebulles">
    <w:name w:val="Balloon Text"/>
    <w:basedOn w:val="Normal"/>
    <w:link w:val="TextedebullesCar"/>
    <w:uiPriority w:val="99"/>
    <w:semiHidden/>
    <w:unhideWhenUsed/>
    <w:rsid w:val="009A29C2"/>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29C2"/>
    <w:rPr>
      <w:rFonts w:ascii="Segoe UI" w:eastAsia="Times New Roman" w:hAnsi="Segoe UI" w:cs="Segoe UI"/>
      <w:sz w:val="18"/>
      <w:szCs w:val="18"/>
    </w:rPr>
  </w:style>
  <w:style w:type="paragraph" w:styleId="En-tte">
    <w:name w:val="header"/>
    <w:basedOn w:val="Normal"/>
    <w:link w:val="En-tteCar"/>
    <w:uiPriority w:val="99"/>
    <w:unhideWhenUsed/>
    <w:rsid w:val="004D7653"/>
    <w:pPr>
      <w:tabs>
        <w:tab w:val="center" w:pos="4536"/>
        <w:tab w:val="right" w:pos="9072"/>
      </w:tabs>
      <w:spacing w:before="0" w:after="0" w:line="240" w:lineRule="auto"/>
    </w:pPr>
  </w:style>
  <w:style w:type="character" w:customStyle="1" w:styleId="En-tteCar">
    <w:name w:val="En-tête Car"/>
    <w:basedOn w:val="Policepardfaut"/>
    <w:link w:val="En-tte"/>
    <w:uiPriority w:val="99"/>
    <w:rsid w:val="004D7653"/>
    <w:rPr>
      <w:rFonts w:eastAsia="Times New Roman" w:cs="Arial"/>
    </w:rPr>
  </w:style>
  <w:style w:type="paragraph" w:styleId="Pieddepage">
    <w:name w:val="footer"/>
    <w:basedOn w:val="Normal"/>
    <w:link w:val="PieddepageCar"/>
    <w:uiPriority w:val="99"/>
    <w:unhideWhenUsed/>
    <w:rsid w:val="004D7653"/>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D7653"/>
    <w:rPr>
      <w:rFonts w:eastAsia="Times New Roman" w:cs="Arial"/>
    </w:rPr>
  </w:style>
</w:styles>
</file>

<file path=word/webSettings.xml><?xml version="1.0" encoding="utf-8"?>
<w:webSettings xmlns:r="http://schemas.openxmlformats.org/officeDocument/2006/relationships" xmlns:w="http://schemas.openxmlformats.org/wordprocessingml/2006/main">
  <w:divs>
    <w:div w:id="510607009">
      <w:bodyDiv w:val="1"/>
      <w:marLeft w:val="0"/>
      <w:marRight w:val="0"/>
      <w:marTop w:val="0"/>
      <w:marBottom w:val="0"/>
      <w:divBdr>
        <w:top w:val="none" w:sz="0" w:space="0" w:color="auto"/>
        <w:left w:val="none" w:sz="0" w:space="0" w:color="auto"/>
        <w:bottom w:val="none" w:sz="0" w:space="0" w:color="auto"/>
        <w:right w:val="none" w:sz="0" w:space="0" w:color="auto"/>
      </w:divBdr>
    </w:div>
    <w:div w:id="823816034">
      <w:bodyDiv w:val="1"/>
      <w:marLeft w:val="0"/>
      <w:marRight w:val="0"/>
      <w:marTop w:val="0"/>
      <w:marBottom w:val="0"/>
      <w:divBdr>
        <w:top w:val="none" w:sz="0" w:space="0" w:color="auto"/>
        <w:left w:val="none" w:sz="0" w:space="0" w:color="auto"/>
        <w:bottom w:val="none" w:sz="0" w:space="0" w:color="auto"/>
        <w:right w:val="none" w:sz="0" w:space="0" w:color="auto"/>
      </w:divBdr>
    </w:div>
    <w:div w:id="11628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escs.rnu.tn/" TargetMode="External"/><Relationship Id="rId5" Type="http://schemas.openxmlformats.org/officeDocument/2006/relationships/endnotes" Target="endnotes.xml"/><Relationship Id="rId10" Type="http://schemas.openxmlformats.org/officeDocument/2006/relationships/hyperlink" Target="http://www.escs.rnu.tn/"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486</Words>
  <Characters>2679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cp:lastModifiedBy>
  <cp:revision>3</cp:revision>
  <dcterms:created xsi:type="dcterms:W3CDTF">2024-11-20T09:42:00Z</dcterms:created>
  <dcterms:modified xsi:type="dcterms:W3CDTF">2024-11-20T14:50:00Z</dcterms:modified>
</cp:coreProperties>
</file>